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22E25" w14:textId="218BA829" w:rsidR="00E81C67" w:rsidRPr="00E81C67" w:rsidRDefault="00E81C67" w:rsidP="00E81C67">
      <w:pPr>
        <w:spacing w:after="0" w:line="360" w:lineRule="auto"/>
        <w:jc w:val="center"/>
        <w:rPr>
          <w:rFonts w:asciiTheme="majorHAnsi" w:eastAsiaTheme="majorEastAsia" w:hAnsiTheme="majorHAnsi" w:cstheme="majorBidi"/>
          <w:spacing w:val="-10"/>
          <w:kern w:val="28"/>
          <w:sz w:val="28"/>
          <w:szCs w:val="28"/>
          <w:lang w:val="ru-RU"/>
        </w:rPr>
      </w:pPr>
      <w:r w:rsidRPr="00E81C67">
        <w:rPr>
          <w:rFonts w:asciiTheme="majorHAnsi" w:eastAsiaTheme="majorEastAsia" w:hAnsiTheme="majorHAnsi" w:cstheme="majorBidi"/>
          <w:spacing w:val="-10"/>
          <w:kern w:val="28"/>
          <w:sz w:val="28"/>
          <w:szCs w:val="28"/>
          <w:lang w:val="ru-RU"/>
        </w:rPr>
        <w:t xml:space="preserve">Просветно-културни центрове на славянството, </w:t>
      </w:r>
      <w:r w:rsidRPr="00E81C67">
        <w:rPr>
          <w:rFonts w:asciiTheme="majorHAnsi" w:eastAsiaTheme="majorEastAsia" w:hAnsiTheme="majorHAnsi" w:cstheme="majorBidi"/>
          <w:spacing w:val="-10"/>
          <w:kern w:val="28"/>
          <w:sz w:val="28"/>
          <w:szCs w:val="28"/>
        </w:rPr>
        <w:t>IX</w:t>
      </w:r>
      <w:r w:rsidRPr="00E81C67">
        <w:rPr>
          <w:rFonts w:asciiTheme="majorHAnsi" w:eastAsiaTheme="majorEastAsia" w:hAnsiTheme="majorHAnsi" w:cstheme="majorBidi"/>
          <w:spacing w:val="-10"/>
          <w:kern w:val="28"/>
          <w:sz w:val="28"/>
          <w:szCs w:val="28"/>
          <w:lang w:val="ru-RU"/>
        </w:rPr>
        <w:t>-</w:t>
      </w:r>
      <w:r w:rsidRPr="00E81C67">
        <w:rPr>
          <w:rFonts w:asciiTheme="majorHAnsi" w:eastAsiaTheme="majorEastAsia" w:hAnsiTheme="majorHAnsi" w:cstheme="majorBidi"/>
          <w:spacing w:val="-10"/>
          <w:kern w:val="28"/>
          <w:sz w:val="28"/>
          <w:szCs w:val="28"/>
        </w:rPr>
        <w:t>XIX</w:t>
      </w:r>
      <w:r w:rsidRPr="00E81C67">
        <w:rPr>
          <w:rFonts w:asciiTheme="majorHAnsi" w:eastAsiaTheme="majorEastAsia" w:hAnsiTheme="majorHAnsi" w:cstheme="majorBidi"/>
          <w:spacing w:val="-10"/>
          <w:kern w:val="28"/>
          <w:sz w:val="28"/>
          <w:szCs w:val="28"/>
          <w:lang w:val="ru-RU"/>
        </w:rPr>
        <w:t xml:space="preserve"> векове</w:t>
      </w:r>
    </w:p>
    <w:p w14:paraId="0C51385B" w14:textId="77777777" w:rsidR="00E81C67" w:rsidRPr="001A7DD4" w:rsidRDefault="00E81C67" w:rsidP="00E81C67">
      <w:pPr>
        <w:spacing w:after="120" w:line="276" w:lineRule="auto"/>
        <w:rPr>
          <w:lang w:val="ru-RU"/>
        </w:rPr>
      </w:pPr>
      <w:r w:rsidRPr="001A7DD4">
        <w:rPr>
          <w:lang w:val="ru-RU"/>
        </w:rPr>
        <w:t>През 2023 г. се навършват 250 години от създаването на Националната образователна комисия (1773), затова Редакцията пожела да посвети брой 25 на „Познански славистични студии“ на проблемите на славянските центрове за просвета и училищно обучение. Просветата е съставна част на всяка цивилизация и всяка култура. Благодарение на училищното обучение държавите на т.нар. по-млада Европа, към която се числят всички славянски страни, включително и балканските, получиха възможността да приемат общите цивилизационни модели на вече християнизираната Европа и да ги предадат нататък в процеса на оформяне на рамките на националните културни традиции. Трудно е да си представим състоянието на славянската цивилизация без такива важни образователни местни и чуждестранни центрове като например Братислава (Пресбург), Будапеща, Киев, Краков, Лайпциг, Одеса, Падуа, Прага, Рим, Виена.</w:t>
      </w:r>
    </w:p>
    <w:p w14:paraId="22EBB8BA" w14:textId="77777777" w:rsidR="00E81C67" w:rsidRPr="001A7DD4" w:rsidRDefault="00E81C67" w:rsidP="00E81C67">
      <w:pPr>
        <w:spacing w:after="120" w:line="276" w:lineRule="auto"/>
        <w:ind w:firstLine="397"/>
        <w:rPr>
          <w:lang w:val="ru-RU"/>
        </w:rPr>
      </w:pPr>
      <w:r w:rsidRPr="001A7DD4">
        <w:rPr>
          <w:lang w:val="ru-RU"/>
        </w:rPr>
        <w:t>В славистичните изследвания посочената тема все още остава на заден план. Познанието за нея е изключително разпръснато, въпреки че непрекъснато се позоваваме на това познание по време на академичните занятия – когато представяме портретите на бележити славяни, корифеи на литературата, заслужили дейци на културата или политиката, както и при представянето на  вътрешноевропейските и междуславянските културни контакти. Така че актуализацията на изворовите документи по интересуващата ни тема би била от голяма полза.</w:t>
      </w:r>
    </w:p>
    <w:p w14:paraId="481A7DDA" w14:textId="77777777" w:rsidR="00E81C67" w:rsidRPr="001A7DD4" w:rsidRDefault="00E81C67" w:rsidP="00E81C67">
      <w:pPr>
        <w:spacing w:after="120" w:line="276" w:lineRule="auto"/>
        <w:ind w:firstLine="397"/>
        <w:rPr>
          <w:lang w:val="ru-RU"/>
        </w:rPr>
      </w:pPr>
      <w:r w:rsidRPr="001A7DD4">
        <w:rPr>
          <w:lang w:val="ru-RU"/>
        </w:rPr>
        <w:t>Предлагаме следните по-детайлни теми:</w:t>
      </w:r>
    </w:p>
    <w:p w14:paraId="3B5AFC92" w14:textId="77777777" w:rsidR="00E81C67" w:rsidRPr="001A7DD4" w:rsidRDefault="00E81C67" w:rsidP="00E81C67">
      <w:pPr>
        <w:spacing w:after="120" w:line="276" w:lineRule="auto"/>
        <w:ind w:firstLine="397"/>
        <w:rPr>
          <w:lang w:val="ru-RU"/>
        </w:rPr>
      </w:pPr>
      <w:r w:rsidRPr="001A7DD4">
        <w:rPr>
          <w:lang w:val="ru-RU"/>
        </w:rPr>
        <w:t xml:space="preserve">1. Изворова база на историята на просветата и училищното обучение; </w:t>
      </w:r>
    </w:p>
    <w:p w14:paraId="2C9847DB" w14:textId="77777777" w:rsidR="00E81C67" w:rsidRPr="001A7DD4" w:rsidRDefault="00E81C67" w:rsidP="00E81C67">
      <w:pPr>
        <w:spacing w:after="120" w:line="276" w:lineRule="auto"/>
        <w:ind w:firstLine="397"/>
        <w:rPr>
          <w:lang w:val="ru-RU"/>
        </w:rPr>
      </w:pPr>
      <w:r w:rsidRPr="001A7DD4">
        <w:rPr>
          <w:lang w:val="ru-RU"/>
        </w:rPr>
        <w:t xml:space="preserve">2. Участие на религиозните кръгове, Църквата, манастирите и отделните ордени в организацията на обучението (в това число ролята на бенедиктинците, цистерцианците, францисканците, йезуитите, пиаристите, базилианците); манастирските и енорийските училища, академии, гимназии, семинари и мисии; </w:t>
      </w:r>
    </w:p>
    <w:p w14:paraId="690955BA" w14:textId="77777777" w:rsidR="00E81C67" w:rsidRPr="001A7DD4" w:rsidRDefault="00E81C67" w:rsidP="00E81C67">
      <w:pPr>
        <w:spacing w:after="120" w:line="276" w:lineRule="auto"/>
        <w:ind w:firstLine="397"/>
        <w:rPr>
          <w:lang w:val="ru-RU"/>
        </w:rPr>
      </w:pPr>
      <w:r w:rsidRPr="001A7DD4">
        <w:rPr>
          <w:lang w:val="ru-RU"/>
        </w:rPr>
        <w:t xml:space="preserve">3. Образование в периода на робство и липса на национална държава; </w:t>
      </w:r>
    </w:p>
    <w:p w14:paraId="262AB11D" w14:textId="77777777" w:rsidR="00E81C67" w:rsidRPr="001A7DD4" w:rsidRDefault="00E81C67" w:rsidP="00E81C67">
      <w:pPr>
        <w:spacing w:after="120" w:line="276" w:lineRule="auto"/>
        <w:ind w:firstLine="397"/>
        <w:rPr>
          <w:lang w:val="ru-RU"/>
        </w:rPr>
      </w:pPr>
      <w:r w:rsidRPr="001A7DD4">
        <w:rPr>
          <w:lang w:val="ru-RU"/>
        </w:rPr>
        <w:t>4. Социално осъзнаване по темата за просветата, просветния патронаж от страна на светските и религиозните органи;</w:t>
      </w:r>
    </w:p>
    <w:p w14:paraId="4ED978A1" w14:textId="77777777" w:rsidR="00E81C67" w:rsidRPr="001A7DD4" w:rsidRDefault="00E81C67" w:rsidP="00E81C67">
      <w:pPr>
        <w:spacing w:after="120" w:line="276" w:lineRule="auto"/>
        <w:ind w:firstLine="397"/>
        <w:rPr>
          <w:lang w:val="ru-RU"/>
        </w:rPr>
      </w:pPr>
      <w:r w:rsidRPr="001A7DD4">
        <w:rPr>
          <w:lang w:val="ru-RU"/>
        </w:rPr>
        <w:t xml:space="preserve">5. Образователни миграции, направления и мотивации; </w:t>
      </w:r>
    </w:p>
    <w:p w14:paraId="07F5A331" w14:textId="77777777" w:rsidR="00E81C67" w:rsidRPr="001A7DD4" w:rsidRDefault="00E81C67" w:rsidP="00E81C67">
      <w:pPr>
        <w:spacing w:after="120" w:line="276" w:lineRule="auto"/>
        <w:ind w:firstLine="397"/>
        <w:rPr>
          <w:lang w:val="ru-RU"/>
        </w:rPr>
      </w:pPr>
      <w:r w:rsidRPr="001A7DD4">
        <w:rPr>
          <w:lang w:val="ru-RU"/>
        </w:rPr>
        <w:t xml:space="preserve">6. Просветна политика на могъщите сили спрямо славяните; </w:t>
      </w:r>
    </w:p>
    <w:p w14:paraId="75823516" w14:textId="77777777" w:rsidR="00E81C67" w:rsidRPr="001A7DD4" w:rsidRDefault="00E81C67" w:rsidP="00E81C67">
      <w:pPr>
        <w:spacing w:after="120" w:line="276" w:lineRule="auto"/>
        <w:ind w:firstLine="397"/>
        <w:rPr>
          <w:lang w:val="ru-RU"/>
        </w:rPr>
      </w:pPr>
      <w:r w:rsidRPr="001A7DD4">
        <w:rPr>
          <w:lang w:val="ru-RU"/>
        </w:rPr>
        <w:t xml:space="preserve">7. Първите поколения славянска интелигенция; </w:t>
      </w:r>
    </w:p>
    <w:p w14:paraId="1F3B863A" w14:textId="77777777" w:rsidR="00E81C67" w:rsidRPr="001A7DD4" w:rsidRDefault="00E81C67" w:rsidP="00E81C67">
      <w:pPr>
        <w:spacing w:after="120" w:line="276" w:lineRule="auto"/>
        <w:ind w:firstLine="397"/>
        <w:rPr>
          <w:lang w:val="ru-RU"/>
        </w:rPr>
      </w:pPr>
      <w:r w:rsidRPr="001A7DD4">
        <w:rPr>
          <w:lang w:val="ru-RU"/>
        </w:rPr>
        <w:t xml:space="preserve">8. Интелектуално-дидактическо формиране на педагогическите кадри, известни </w:t>
      </w:r>
      <w:r w:rsidRPr="001A7DD4">
        <w:rPr>
          <w:color w:val="222222"/>
          <w:shd w:val="clear" w:color="auto" w:fill="FFFFFF"/>
          <w:lang w:val="ru-RU"/>
        </w:rPr>
        <w:t>известни ученици, учители, директори</w:t>
      </w:r>
      <w:r w:rsidRPr="001A7DD4">
        <w:rPr>
          <w:lang w:val="ru-RU"/>
        </w:rPr>
        <w:t>;</w:t>
      </w:r>
    </w:p>
    <w:p w14:paraId="49993503" w14:textId="77777777" w:rsidR="00E81C67" w:rsidRPr="001A7DD4" w:rsidRDefault="00E81C67" w:rsidP="00E81C67">
      <w:pPr>
        <w:spacing w:after="120" w:line="276" w:lineRule="auto"/>
        <w:ind w:firstLine="397"/>
        <w:rPr>
          <w:lang w:val="ru-RU"/>
        </w:rPr>
      </w:pPr>
      <w:r w:rsidRPr="001A7DD4">
        <w:rPr>
          <w:lang w:val="ru-RU"/>
        </w:rPr>
        <w:t xml:space="preserve">9. Просветно-социално въздействие в отделните средища; разпространение на знанията, развитие на учебното дело; </w:t>
      </w:r>
    </w:p>
    <w:p w14:paraId="15939B0B" w14:textId="77777777" w:rsidR="00E81C67" w:rsidRPr="001A7DD4" w:rsidRDefault="00E81C67" w:rsidP="00E81C67">
      <w:pPr>
        <w:spacing w:after="120" w:line="276" w:lineRule="auto"/>
        <w:ind w:firstLine="397"/>
        <w:rPr>
          <w:lang w:val="ru-RU"/>
        </w:rPr>
      </w:pPr>
      <w:r w:rsidRPr="001A7DD4">
        <w:rPr>
          <w:lang w:val="ru-RU"/>
        </w:rPr>
        <w:t>10. Училищна структура и усилия за модернизирането ѝ.</w:t>
      </w:r>
    </w:p>
    <w:p w14:paraId="5AAFBE80" w14:textId="77777777" w:rsidR="00E81C67" w:rsidRPr="001A7DD4" w:rsidRDefault="00E81C67" w:rsidP="00E81C67">
      <w:pPr>
        <w:spacing w:after="120" w:line="276" w:lineRule="auto"/>
        <w:ind w:firstLine="397"/>
        <w:rPr>
          <w:rFonts w:eastAsia="Calibri"/>
          <w:lang w:val="ru-RU"/>
        </w:rPr>
      </w:pPr>
      <w:r w:rsidRPr="001A7DD4">
        <w:rPr>
          <w:rFonts w:eastAsia="Calibri"/>
          <w:lang w:val="ru-RU"/>
        </w:rPr>
        <w:t xml:space="preserve">Можете да изпратите статии на всички славянски езици, на английски език или на останалите конферентни езици. Текстовете трябва да са оформени според техническите </w:t>
      </w:r>
      <w:r w:rsidRPr="001A7DD4">
        <w:rPr>
          <w:rFonts w:eastAsia="Calibri"/>
          <w:lang w:val="ru-RU"/>
        </w:rPr>
        <w:lastRenderedPageBreak/>
        <w:t xml:space="preserve">указания на страница </w:t>
      </w:r>
      <w:hyperlink r:id="rId4" w:history="1">
        <w:r w:rsidRPr="001A7DD4">
          <w:rPr>
            <w:rStyle w:val="Hipercze"/>
            <w:rFonts w:eastAsia="Calibri"/>
            <w:lang w:val="en-GB"/>
          </w:rPr>
          <w:t>https</w:t>
        </w:r>
        <w:r w:rsidRPr="001A7DD4">
          <w:rPr>
            <w:rStyle w:val="Hipercze"/>
            <w:rFonts w:eastAsia="Calibri"/>
            <w:lang w:val="ru-RU"/>
          </w:rPr>
          <w:t>://</w:t>
        </w:r>
        <w:r w:rsidRPr="001A7DD4">
          <w:rPr>
            <w:rStyle w:val="Hipercze"/>
            <w:rFonts w:eastAsia="Calibri"/>
            <w:lang w:val="en-GB"/>
          </w:rPr>
          <w:t>pressto</w:t>
        </w:r>
        <w:r w:rsidRPr="001A7DD4">
          <w:rPr>
            <w:rStyle w:val="Hipercze"/>
            <w:rFonts w:eastAsia="Calibri"/>
            <w:lang w:val="ru-RU"/>
          </w:rPr>
          <w:t>.</w:t>
        </w:r>
        <w:r w:rsidRPr="001A7DD4">
          <w:rPr>
            <w:rStyle w:val="Hipercze"/>
            <w:rFonts w:eastAsia="Calibri"/>
            <w:lang w:val="en-GB"/>
          </w:rPr>
          <w:t>amu</w:t>
        </w:r>
        <w:r w:rsidRPr="001A7DD4">
          <w:rPr>
            <w:rStyle w:val="Hipercze"/>
            <w:rFonts w:eastAsia="Calibri"/>
            <w:lang w:val="ru-RU"/>
          </w:rPr>
          <w:t>.</w:t>
        </w:r>
        <w:r w:rsidRPr="001A7DD4">
          <w:rPr>
            <w:rStyle w:val="Hipercze"/>
            <w:rFonts w:eastAsia="Calibri"/>
            <w:lang w:val="en-GB"/>
          </w:rPr>
          <w:t>edu</w:t>
        </w:r>
        <w:r w:rsidRPr="001A7DD4">
          <w:rPr>
            <w:rStyle w:val="Hipercze"/>
            <w:rFonts w:eastAsia="Calibri"/>
            <w:lang w:val="ru-RU"/>
          </w:rPr>
          <w:t>.</w:t>
        </w:r>
        <w:r w:rsidRPr="001A7DD4">
          <w:rPr>
            <w:rStyle w:val="Hipercze"/>
            <w:rFonts w:eastAsia="Calibri"/>
            <w:lang w:val="en-GB"/>
          </w:rPr>
          <w:t>pl</w:t>
        </w:r>
        <w:r w:rsidRPr="001A7DD4">
          <w:rPr>
            <w:rStyle w:val="Hipercze"/>
            <w:rFonts w:eastAsia="Calibri"/>
            <w:lang w:val="ru-RU"/>
          </w:rPr>
          <w:t>/</w:t>
        </w:r>
        <w:r w:rsidRPr="001A7DD4">
          <w:rPr>
            <w:rStyle w:val="Hipercze"/>
            <w:rFonts w:eastAsia="Calibri"/>
            <w:lang w:val="en-GB"/>
          </w:rPr>
          <w:t>index</w:t>
        </w:r>
        <w:r w:rsidRPr="001A7DD4">
          <w:rPr>
            <w:rStyle w:val="Hipercze"/>
            <w:rFonts w:eastAsia="Calibri"/>
            <w:lang w:val="ru-RU"/>
          </w:rPr>
          <w:t>.</w:t>
        </w:r>
        <w:r w:rsidRPr="001A7DD4">
          <w:rPr>
            <w:rStyle w:val="Hipercze"/>
            <w:rFonts w:eastAsia="Calibri"/>
            <w:lang w:val="en-GB"/>
          </w:rPr>
          <w:t>php</w:t>
        </w:r>
        <w:r w:rsidRPr="001A7DD4">
          <w:rPr>
            <w:rStyle w:val="Hipercze"/>
            <w:rFonts w:eastAsia="Calibri"/>
            <w:lang w:val="ru-RU"/>
          </w:rPr>
          <w:t>/</w:t>
        </w:r>
        <w:r w:rsidRPr="001A7DD4">
          <w:rPr>
            <w:rStyle w:val="Hipercze"/>
            <w:rFonts w:eastAsia="Calibri"/>
            <w:lang w:val="en-GB"/>
          </w:rPr>
          <w:t>pss</w:t>
        </w:r>
        <w:r w:rsidRPr="001A7DD4">
          <w:rPr>
            <w:rStyle w:val="Hipercze"/>
            <w:rFonts w:eastAsia="Calibri"/>
            <w:lang w:val="ru-RU"/>
          </w:rPr>
          <w:t>/</w:t>
        </w:r>
        <w:r w:rsidRPr="001A7DD4">
          <w:rPr>
            <w:rStyle w:val="Hipercze"/>
            <w:rFonts w:eastAsia="Calibri"/>
            <w:lang w:val="en-GB"/>
          </w:rPr>
          <w:t>about</w:t>
        </w:r>
        <w:r w:rsidRPr="001A7DD4">
          <w:rPr>
            <w:rStyle w:val="Hipercze"/>
            <w:rFonts w:eastAsia="Calibri"/>
            <w:lang w:val="ru-RU"/>
          </w:rPr>
          <w:t>/</w:t>
        </w:r>
        <w:r w:rsidRPr="001A7DD4">
          <w:rPr>
            <w:rStyle w:val="Hipercze"/>
            <w:rFonts w:eastAsia="Calibri"/>
            <w:lang w:val="en-GB"/>
          </w:rPr>
          <w:t>submissions</w:t>
        </w:r>
      </w:hyperlink>
      <w:r w:rsidRPr="001A7DD4">
        <w:rPr>
          <w:lang w:val="ru-RU"/>
        </w:rPr>
        <w:t xml:space="preserve">. </w:t>
      </w:r>
      <w:r w:rsidRPr="001A7DD4">
        <w:rPr>
          <w:rFonts w:eastAsia="Calibri"/>
          <w:lang w:val="ru-RU"/>
        </w:rPr>
        <w:t xml:space="preserve">Ще очакваме статиите на електронен адрес </w:t>
      </w:r>
      <w:hyperlink r:id="rId5" w:history="1">
        <w:r w:rsidRPr="001A7DD4">
          <w:rPr>
            <w:rStyle w:val="Hipercze"/>
            <w:rFonts w:eastAsia="Calibri"/>
            <w:lang w:val="en-GB"/>
          </w:rPr>
          <w:t>studiaslawistyczne</w:t>
        </w:r>
        <w:r w:rsidRPr="001A7DD4">
          <w:rPr>
            <w:rStyle w:val="Hipercze"/>
            <w:rFonts w:eastAsia="Calibri"/>
            <w:lang w:val="ru-RU"/>
          </w:rPr>
          <w:t>@</w:t>
        </w:r>
        <w:r w:rsidRPr="001A7DD4">
          <w:rPr>
            <w:rStyle w:val="Hipercze"/>
            <w:rFonts w:eastAsia="Calibri"/>
            <w:lang w:val="en-GB"/>
          </w:rPr>
          <w:t>gmail</w:t>
        </w:r>
        <w:r w:rsidRPr="001A7DD4">
          <w:rPr>
            <w:rStyle w:val="Hipercze"/>
            <w:rFonts w:eastAsia="Calibri"/>
            <w:lang w:val="ru-RU"/>
          </w:rPr>
          <w:t>.</w:t>
        </w:r>
        <w:r w:rsidRPr="001A7DD4">
          <w:rPr>
            <w:rStyle w:val="Hipercze"/>
            <w:rFonts w:eastAsia="Calibri"/>
            <w:lang w:val="en-GB"/>
          </w:rPr>
          <w:t>com</w:t>
        </w:r>
      </w:hyperlink>
      <w:r w:rsidRPr="001A7DD4">
        <w:rPr>
          <w:lang w:val="ru-RU"/>
        </w:rPr>
        <w:t xml:space="preserve">. Те могат ада бъдат изпратени и чрез платформата </w:t>
      </w:r>
      <w:hyperlink r:id="rId6" w:anchor="onlineSubmissions" w:history="1">
        <w:r w:rsidRPr="001A7DD4">
          <w:rPr>
            <w:rStyle w:val="Hipercze"/>
            <w:lang w:val="en-GB"/>
          </w:rPr>
          <w:t>https</w:t>
        </w:r>
        <w:r w:rsidRPr="001A7DD4">
          <w:rPr>
            <w:rStyle w:val="Hipercze"/>
            <w:lang w:val="ru-RU"/>
          </w:rPr>
          <w:t>://</w:t>
        </w:r>
        <w:r w:rsidRPr="001A7DD4">
          <w:rPr>
            <w:rStyle w:val="Hipercze"/>
            <w:lang w:val="en-GB"/>
          </w:rPr>
          <w:t>pressto</w:t>
        </w:r>
        <w:r w:rsidRPr="001A7DD4">
          <w:rPr>
            <w:rStyle w:val="Hipercze"/>
            <w:lang w:val="ru-RU"/>
          </w:rPr>
          <w:t>.</w:t>
        </w:r>
        <w:r w:rsidRPr="001A7DD4">
          <w:rPr>
            <w:rStyle w:val="Hipercze"/>
            <w:lang w:val="en-GB"/>
          </w:rPr>
          <w:t>amu</w:t>
        </w:r>
        <w:r w:rsidRPr="001A7DD4">
          <w:rPr>
            <w:rStyle w:val="Hipercze"/>
            <w:lang w:val="ru-RU"/>
          </w:rPr>
          <w:t>.</w:t>
        </w:r>
        <w:r w:rsidRPr="001A7DD4">
          <w:rPr>
            <w:rStyle w:val="Hipercze"/>
            <w:lang w:val="en-GB"/>
          </w:rPr>
          <w:t>edu</w:t>
        </w:r>
        <w:r w:rsidRPr="001A7DD4">
          <w:rPr>
            <w:rStyle w:val="Hipercze"/>
            <w:lang w:val="ru-RU"/>
          </w:rPr>
          <w:t>.</w:t>
        </w:r>
        <w:r w:rsidRPr="001A7DD4">
          <w:rPr>
            <w:rStyle w:val="Hipercze"/>
            <w:lang w:val="en-GB"/>
          </w:rPr>
          <w:t>pl</w:t>
        </w:r>
        <w:r w:rsidRPr="001A7DD4">
          <w:rPr>
            <w:rStyle w:val="Hipercze"/>
            <w:lang w:val="ru-RU"/>
          </w:rPr>
          <w:t>/</w:t>
        </w:r>
        <w:r w:rsidRPr="001A7DD4">
          <w:rPr>
            <w:rStyle w:val="Hipercze"/>
            <w:lang w:val="en-GB"/>
          </w:rPr>
          <w:t>index</w:t>
        </w:r>
        <w:r w:rsidRPr="001A7DD4">
          <w:rPr>
            <w:rStyle w:val="Hipercze"/>
            <w:lang w:val="ru-RU"/>
          </w:rPr>
          <w:t>.</w:t>
        </w:r>
        <w:r w:rsidRPr="001A7DD4">
          <w:rPr>
            <w:rStyle w:val="Hipercze"/>
            <w:lang w:val="en-GB"/>
          </w:rPr>
          <w:t>php</w:t>
        </w:r>
        <w:r w:rsidRPr="001A7DD4">
          <w:rPr>
            <w:rStyle w:val="Hipercze"/>
            <w:lang w:val="ru-RU"/>
          </w:rPr>
          <w:t>/</w:t>
        </w:r>
        <w:r w:rsidRPr="001A7DD4">
          <w:rPr>
            <w:rStyle w:val="Hipercze"/>
            <w:lang w:val="en-GB"/>
          </w:rPr>
          <w:t>pss</w:t>
        </w:r>
        <w:r w:rsidRPr="001A7DD4">
          <w:rPr>
            <w:rStyle w:val="Hipercze"/>
            <w:lang w:val="ru-RU"/>
          </w:rPr>
          <w:t>/</w:t>
        </w:r>
        <w:r w:rsidRPr="001A7DD4">
          <w:rPr>
            <w:rStyle w:val="Hipercze"/>
            <w:lang w:val="en-GB"/>
          </w:rPr>
          <w:t>about</w:t>
        </w:r>
        <w:r w:rsidRPr="001A7DD4">
          <w:rPr>
            <w:rStyle w:val="Hipercze"/>
            <w:lang w:val="ru-RU"/>
          </w:rPr>
          <w:t>/</w:t>
        </w:r>
        <w:r w:rsidRPr="001A7DD4">
          <w:rPr>
            <w:rStyle w:val="Hipercze"/>
            <w:lang w:val="en-GB"/>
          </w:rPr>
          <w:t>submissions</w:t>
        </w:r>
        <w:r w:rsidRPr="001A7DD4">
          <w:rPr>
            <w:rStyle w:val="Hipercze"/>
            <w:lang w:val="ru-RU"/>
          </w:rPr>
          <w:t>#</w:t>
        </w:r>
        <w:r w:rsidRPr="001A7DD4">
          <w:rPr>
            <w:rStyle w:val="Hipercze"/>
            <w:lang w:val="en-GB"/>
          </w:rPr>
          <w:t>onlineSubmissions</w:t>
        </w:r>
      </w:hyperlink>
      <w:r w:rsidRPr="001A7DD4">
        <w:rPr>
          <w:lang w:val="ru-RU"/>
        </w:rPr>
        <w:t xml:space="preserve"> Крайният срок за изпращане на текстовете е </w:t>
      </w:r>
      <w:r w:rsidRPr="001A7DD4">
        <w:rPr>
          <w:b/>
          <w:bCs/>
          <w:lang w:val="ru-RU"/>
        </w:rPr>
        <w:t>28</w:t>
      </w:r>
      <w:r w:rsidRPr="001A7DD4">
        <w:rPr>
          <w:b/>
          <w:lang w:val="ru-RU"/>
        </w:rPr>
        <w:t xml:space="preserve"> февруари 2024.</w:t>
      </w:r>
    </w:p>
    <w:p w14:paraId="232C159C" w14:textId="77777777" w:rsidR="00E81C67" w:rsidRPr="001A7DD4" w:rsidRDefault="00E81C67" w:rsidP="00E81C67">
      <w:pPr>
        <w:spacing w:after="120" w:line="276" w:lineRule="auto"/>
        <w:ind w:firstLine="397"/>
        <w:rPr>
          <w:lang w:val="ru-RU"/>
        </w:rPr>
      </w:pPr>
      <w:r w:rsidRPr="001A7DD4">
        <w:rPr>
          <w:lang w:val="ru-RU"/>
        </w:rPr>
        <w:t xml:space="preserve">Статиите трябва да не са по-дълги от 35 000 знака, като този обем обхваща и резюмето (около 700 знака), ключовите думи на английски език и кратката биографична бележка за автора (максимално 700 знака), номера </w:t>
      </w:r>
      <w:r w:rsidRPr="001A7DD4">
        <w:t>ORCID</w:t>
      </w:r>
      <w:r w:rsidRPr="001A7DD4">
        <w:rPr>
          <w:lang w:val="ru-RU"/>
        </w:rPr>
        <w:t xml:space="preserve"> и електронния адрес на автора. </w:t>
      </w:r>
    </w:p>
    <w:p w14:paraId="6D45C4BB" w14:textId="77777777" w:rsidR="00E81C67" w:rsidRPr="001A7DD4" w:rsidRDefault="00E81C67" w:rsidP="00E81C67">
      <w:pPr>
        <w:spacing w:after="120" w:line="276" w:lineRule="auto"/>
        <w:ind w:firstLine="397"/>
        <w:rPr>
          <w:lang w:val="ru-RU"/>
        </w:rPr>
      </w:pPr>
      <w:r w:rsidRPr="001A7DD4">
        <w:rPr>
          <w:lang w:val="ru-RU"/>
        </w:rPr>
        <w:t xml:space="preserve">Моля, потвърдете участието си в броя до </w:t>
      </w:r>
      <w:r w:rsidRPr="001A7DD4">
        <w:rPr>
          <w:b/>
          <w:bCs/>
          <w:lang w:val="ru-RU"/>
        </w:rPr>
        <w:t>20</w:t>
      </w:r>
      <w:r w:rsidRPr="001A7DD4">
        <w:rPr>
          <w:b/>
          <w:lang w:val="ru-RU"/>
        </w:rPr>
        <w:t xml:space="preserve"> септември 2023</w:t>
      </w:r>
      <w:r w:rsidRPr="001A7DD4">
        <w:rPr>
          <w:lang w:val="ru-RU"/>
        </w:rPr>
        <w:t xml:space="preserve">. Ще очакваме да изпратите заглавието на планираната статия до </w:t>
      </w:r>
      <w:r w:rsidRPr="001A7DD4">
        <w:rPr>
          <w:b/>
          <w:lang w:val="ru-RU"/>
        </w:rPr>
        <w:t>15 ноември 2023</w:t>
      </w:r>
      <w:r w:rsidRPr="001A7DD4">
        <w:rPr>
          <w:lang w:val="ru-RU"/>
        </w:rPr>
        <w:t xml:space="preserve">. </w:t>
      </w:r>
    </w:p>
    <w:p w14:paraId="28992994" w14:textId="77777777" w:rsidR="00E81C67" w:rsidRPr="001A7DD4" w:rsidRDefault="00E81C67" w:rsidP="00E81C67">
      <w:pPr>
        <w:pStyle w:val="Akapitzlist"/>
        <w:spacing w:after="120"/>
        <w:ind w:left="0" w:firstLine="397"/>
        <w:jc w:val="both"/>
        <w:rPr>
          <w:rFonts w:ascii="Times New Roman" w:hAnsi="Times New Roman"/>
          <w:sz w:val="24"/>
          <w:szCs w:val="24"/>
          <w:lang w:val="hr-HR"/>
        </w:rPr>
      </w:pPr>
      <w:r w:rsidRPr="001A7DD4">
        <w:rPr>
          <w:rFonts w:ascii="Times New Roman" w:hAnsi="Times New Roman"/>
          <w:sz w:val="24"/>
          <w:szCs w:val="24"/>
          <w:lang w:val="ru-RU"/>
        </w:rPr>
        <w:t xml:space="preserve">Тематични редакторки на броя са </w:t>
      </w:r>
      <w:r w:rsidRPr="001A7DD4">
        <w:rPr>
          <w:rFonts w:ascii="Times New Roman" w:hAnsi="Times New Roman"/>
          <w:color w:val="000000"/>
          <w:sz w:val="24"/>
          <w:szCs w:val="24"/>
          <w:lang w:val="ru-RU"/>
        </w:rPr>
        <w:t xml:space="preserve">Мажанна Кучинска </w:t>
      </w:r>
      <w:r w:rsidRPr="001A7DD4">
        <w:rPr>
          <w:rFonts w:ascii="Times New Roman" w:hAnsi="Times New Roman"/>
          <w:color w:val="000000"/>
          <w:sz w:val="24"/>
          <w:szCs w:val="24"/>
          <w:lang w:val="hr-HR"/>
        </w:rPr>
        <w:t>(</w:t>
      </w:r>
      <w:r w:rsidRPr="001A7DD4">
        <w:rPr>
          <w:rFonts w:ascii="Times New Roman" w:hAnsi="Times New Roman"/>
          <w:color w:val="000000"/>
          <w:sz w:val="24"/>
          <w:szCs w:val="24"/>
          <w:lang w:val="ru-RU"/>
        </w:rPr>
        <w:t>Полша</w:t>
      </w:r>
      <w:r w:rsidRPr="001A7DD4">
        <w:rPr>
          <w:rFonts w:ascii="Times New Roman" w:hAnsi="Times New Roman"/>
          <w:color w:val="000000"/>
          <w:sz w:val="24"/>
          <w:szCs w:val="24"/>
          <w:lang w:val="hr-HR"/>
        </w:rPr>
        <w:t>),</w:t>
      </w:r>
      <w:r w:rsidRPr="001A7DD4">
        <w:rPr>
          <w:rFonts w:ascii="Times New Roman" w:hAnsi="Times New Roman"/>
          <w:color w:val="000000"/>
          <w:sz w:val="24"/>
          <w:szCs w:val="24"/>
          <w:shd w:val="clear" w:color="auto" w:fill="FFFFFF"/>
          <w:lang w:val="hr-HR"/>
        </w:rPr>
        <w:t xml:space="preserve"> </w:t>
      </w:r>
      <w:r w:rsidRPr="001A7DD4">
        <w:rPr>
          <w:rFonts w:ascii="Times New Roman" w:hAnsi="Times New Roman"/>
          <w:color w:val="000000"/>
          <w:sz w:val="24"/>
          <w:szCs w:val="24"/>
          <w:shd w:val="clear" w:color="auto" w:fill="FFFFFF"/>
          <w:lang w:val="ru-RU"/>
        </w:rPr>
        <w:t xml:space="preserve">Вивиана Носилиа </w:t>
      </w:r>
      <w:r w:rsidRPr="001A7DD4">
        <w:rPr>
          <w:rFonts w:ascii="Times New Roman" w:hAnsi="Times New Roman"/>
          <w:color w:val="000000"/>
          <w:sz w:val="24"/>
          <w:szCs w:val="24"/>
          <w:shd w:val="clear" w:color="auto" w:fill="FFFFFF"/>
          <w:lang w:val="hr-HR"/>
        </w:rPr>
        <w:t>(</w:t>
      </w:r>
      <w:r w:rsidRPr="001A7DD4">
        <w:rPr>
          <w:rFonts w:ascii="Times New Roman" w:hAnsi="Times New Roman"/>
          <w:color w:val="000000"/>
          <w:sz w:val="24"/>
          <w:szCs w:val="24"/>
          <w:shd w:val="clear" w:color="auto" w:fill="FFFFFF"/>
          <w:lang w:val="ru-RU"/>
        </w:rPr>
        <w:t>Италия</w:t>
      </w:r>
      <w:r w:rsidRPr="001A7DD4">
        <w:rPr>
          <w:rFonts w:ascii="Times New Roman" w:hAnsi="Times New Roman"/>
          <w:color w:val="000000"/>
          <w:sz w:val="24"/>
          <w:szCs w:val="24"/>
          <w:shd w:val="clear" w:color="auto" w:fill="FFFFFF"/>
          <w:lang w:val="hr-HR"/>
        </w:rPr>
        <w:t>).</w:t>
      </w:r>
    </w:p>
    <w:p w14:paraId="73459CB8" w14:textId="77777777" w:rsidR="004229E8" w:rsidRPr="00E81C67" w:rsidRDefault="004229E8">
      <w:pPr>
        <w:rPr>
          <w:lang w:val="ru-RU"/>
        </w:rPr>
      </w:pPr>
    </w:p>
    <w:sectPr w:rsidR="004229E8" w:rsidRPr="00E81C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7CE"/>
    <w:rsid w:val="002B0C15"/>
    <w:rsid w:val="004229E8"/>
    <w:rsid w:val="009947CE"/>
    <w:rsid w:val="00E81C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F8E21"/>
  <w15:chartTrackingRefBased/>
  <w15:docId w15:val="{18C1ABF4-40B1-40EB-9772-49289C653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line="360" w:lineRule="auto"/>
        <w:ind w:firstLine="3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1C67"/>
    <w:pPr>
      <w:spacing w:after="160" w:line="259" w:lineRule="auto"/>
      <w:ind w:firstLine="0"/>
    </w:pPr>
    <w:rPr>
      <w:rFonts w:ascii="Times New Roman" w:hAnsi="Times New Roman" w:cs="Times New Roman"/>
      <w:kern w:val="0"/>
      <w:sz w:val="24"/>
      <w:szCs w:val="24"/>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81C67"/>
    <w:pPr>
      <w:spacing w:after="200" w:line="276" w:lineRule="auto"/>
      <w:ind w:left="720"/>
      <w:contextualSpacing/>
      <w:jc w:val="left"/>
    </w:pPr>
    <w:rPr>
      <w:rFonts w:ascii="Calibri" w:eastAsia="Calibri" w:hAnsi="Calibri"/>
      <w:sz w:val="22"/>
      <w:szCs w:val="22"/>
    </w:rPr>
  </w:style>
  <w:style w:type="character" w:styleId="Hipercze">
    <w:name w:val="Hyperlink"/>
    <w:basedOn w:val="Domylnaczcionkaakapitu"/>
    <w:uiPriority w:val="99"/>
    <w:unhideWhenUsed/>
    <w:rsid w:val="00E81C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essto.amu.edu.pl/index.php/pss/about/submissions" TargetMode="External"/><Relationship Id="rId5" Type="http://schemas.openxmlformats.org/officeDocument/2006/relationships/hyperlink" Target="mailto:studiaslawistyczne@gmail.com" TargetMode="External"/><Relationship Id="rId4" Type="http://schemas.openxmlformats.org/officeDocument/2006/relationships/hyperlink" Target="https://pressto.amu.edu.pl/index.php/pss/about/submission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3138</Characters>
  <Application>Microsoft Office Word</Application>
  <DocSecurity>0</DocSecurity>
  <Lines>26</Lines>
  <Paragraphs>7</Paragraphs>
  <ScaleCrop>false</ScaleCrop>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Marzanna Kuczynska</dc:creator>
  <cp:keywords/>
  <dc:description/>
  <cp:lastModifiedBy>Marzanna Kuczynska</cp:lastModifiedBy>
  <cp:revision>3</cp:revision>
  <dcterms:created xsi:type="dcterms:W3CDTF">2023-07-23T09:47:00Z</dcterms:created>
  <dcterms:modified xsi:type="dcterms:W3CDTF">2023-07-23T09:48:00Z</dcterms:modified>
</cp:coreProperties>
</file>